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78A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eastAsia="仿宋_GB2312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eastAsia="仿宋_GB2312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附件：综合</w:t>
      </w:r>
      <w:bookmarkStart w:id="0" w:name="_GoBack"/>
      <w:bookmarkEnd w:id="0"/>
      <w:r>
        <w:rPr>
          <w:rFonts w:hint="eastAsia" w:eastAsia="仿宋_GB2312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shd w:val="clear" w:fill="FFFFFF"/>
          <w:lang w:val="en-US" w:eastAsia="zh-CN"/>
        </w:rPr>
        <w:t>评分细则</w:t>
      </w:r>
    </w:p>
    <w:tbl>
      <w:tblPr>
        <w:tblStyle w:val="3"/>
        <w:tblpPr w:leftFromText="180" w:rightFromText="180" w:vertAnchor="text" w:horzAnchor="margin" w:tblpY="134"/>
        <w:tblOverlap w:val="never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967"/>
        <w:gridCol w:w="6177"/>
        <w:gridCol w:w="607"/>
      </w:tblGrid>
      <w:tr w14:paraId="19AC1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326" w:type="pct"/>
            <w:noWrap w:val="0"/>
            <w:vAlign w:val="center"/>
          </w:tcPr>
          <w:p w14:paraId="07FBF0BC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序号</w:t>
            </w:r>
          </w:p>
        </w:tc>
        <w:tc>
          <w:tcPr>
            <w:tcW w:w="583" w:type="pct"/>
            <w:noWrap w:val="0"/>
            <w:vAlign w:val="center"/>
          </w:tcPr>
          <w:p w14:paraId="1D6D33C2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评分</w:t>
            </w:r>
          </w:p>
          <w:p w14:paraId="128E0261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因素</w:t>
            </w:r>
          </w:p>
        </w:tc>
        <w:tc>
          <w:tcPr>
            <w:tcW w:w="3723" w:type="pct"/>
            <w:noWrap w:val="0"/>
            <w:vAlign w:val="center"/>
          </w:tcPr>
          <w:p w14:paraId="61F6A433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评分细则</w:t>
            </w:r>
          </w:p>
        </w:tc>
        <w:tc>
          <w:tcPr>
            <w:tcW w:w="366" w:type="pct"/>
            <w:noWrap w:val="0"/>
            <w:vAlign w:val="center"/>
          </w:tcPr>
          <w:p w14:paraId="20367006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分值</w:t>
            </w:r>
          </w:p>
        </w:tc>
      </w:tr>
      <w:tr w14:paraId="607A0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326" w:type="pct"/>
            <w:noWrap w:val="0"/>
            <w:vAlign w:val="center"/>
          </w:tcPr>
          <w:p w14:paraId="29D8ED12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</w:p>
        </w:tc>
        <w:tc>
          <w:tcPr>
            <w:tcW w:w="583" w:type="pct"/>
            <w:noWrap w:val="0"/>
            <w:vAlign w:val="center"/>
          </w:tcPr>
          <w:p w14:paraId="43B23C92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价格</w:t>
            </w:r>
          </w:p>
          <w:p w14:paraId="00EA62D9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0分）</w:t>
            </w:r>
          </w:p>
        </w:tc>
        <w:tc>
          <w:tcPr>
            <w:tcW w:w="3723" w:type="pct"/>
            <w:noWrap w:val="0"/>
            <w:vAlign w:val="center"/>
          </w:tcPr>
          <w:p w14:paraId="59A9E82D">
            <w:pPr>
              <w:spacing w:line="24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所有有效</w:t>
            </w:r>
            <w:r>
              <w:rPr>
                <w:rFonts w:hint="eastAsia" w:ascii="宋体" w:hAnsi="宋体"/>
                <w:szCs w:val="21"/>
                <w:lang w:eastAsia="zh-CN"/>
              </w:rPr>
              <w:t>文件</w:t>
            </w:r>
            <w:r>
              <w:rPr>
                <w:rFonts w:hint="eastAsia" w:ascii="宋体" w:hAnsi="宋体"/>
                <w:szCs w:val="21"/>
              </w:rPr>
              <w:t>的平均价为基准价（计算平均价时，若 7≤有效文件＜10 家时，应去掉其中的一个最高价和一个最低价；若有效文件≥10 家，应去掉其中的二个最高价和二个最低价），报价等于基准价的得满分。</w:t>
            </w:r>
            <w:r>
              <w:rPr>
                <w:rFonts w:hint="eastAsia" w:ascii="宋体" w:hAnsi="宋体"/>
                <w:szCs w:val="21"/>
                <w:lang w:eastAsia="zh-CN"/>
              </w:rPr>
              <w:t>（保留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2位小数</w:t>
            </w:r>
            <w:r>
              <w:rPr>
                <w:rFonts w:hint="eastAsia" w:ascii="宋体" w:hAnsi="宋体"/>
                <w:szCs w:val="21"/>
                <w:lang w:eastAsia="zh-CN"/>
              </w:rPr>
              <w:t>）</w:t>
            </w:r>
          </w:p>
          <w:p w14:paraId="2E119269"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响应报</w:t>
            </w:r>
            <w:r>
              <w:rPr>
                <w:rFonts w:hint="eastAsia" w:ascii="宋体" w:hAnsi="宋体"/>
                <w:szCs w:val="21"/>
              </w:rPr>
              <w:t>价得分：报价比基准价每高1%扣0.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分，每低1%扣0.1分，扣完为止。</w:t>
            </w:r>
          </w:p>
        </w:tc>
        <w:tc>
          <w:tcPr>
            <w:tcW w:w="366" w:type="pct"/>
            <w:noWrap w:val="0"/>
            <w:vAlign w:val="center"/>
          </w:tcPr>
          <w:p w14:paraId="0944484A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szCs w:val="21"/>
              </w:rPr>
              <w:t>0</w:t>
            </w:r>
          </w:p>
        </w:tc>
      </w:tr>
      <w:tr w14:paraId="68E15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26" w:type="pct"/>
            <w:vMerge w:val="restart"/>
            <w:noWrap w:val="0"/>
            <w:vAlign w:val="center"/>
          </w:tcPr>
          <w:p w14:paraId="00894D8F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</w:t>
            </w:r>
          </w:p>
        </w:tc>
        <w:tc>
          <w:tcPr>
            <w:tcW w:w="583" w:type="pct"/>
            <w:vMerge w:val="restart"/>
            <w:noWrap w:val="0"/>
            <w:vAlign w:val="center"/>
          </w:tcPr>
          <w:p w14:paraId="14EF8991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造价咨询</w:t>
            </w:r>
            <w:r>
              <w:rPr>
                <w:rFonts w:hint="eastAsia" w:ascii="宋体" w:hAnsi="宋体"/>
                <w:bCs/>
                <w:szCs w:val="21"/>
              </w:rPr>
              <w:t>服务方案</w:t>
            </w:r>
          </w:p>
          <w:p w14:paraId="10BDC4F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szCs w:val="21"/>
              </w:rPr>
              <w:t>0分）</w:t>
            </w:r>
          </w:p>
        </w:tc>
        <w:tc>
          <w:tcPr>
            <w:tcW w:w="3723" w:type="pct"/>
            <w:noWrap w:val="0"/>
            <w:vAlign w:val="center"/>
          </w:tcPr>
          <w:p w14:paraId="4ED65B17"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企业组织机构健全，审计方案完整，经评委综合评定优的得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</w:rPr>
              <w:t>分；良的得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分；一般的得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分；差的得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分；没有的不得分。</w:t>
            </w:r>
          </w:p>
        </w:tc>
        <w:tc>
          <w:tcPr>
            <w:tcW w:w="366" w:type="pct"/>
            <w:noWrap w:val="0"/>
            <w:vAlign w:val="center"/>
          </w:tcPr>
          <w:p w14:paraId="7B13B397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10</w:t>
            </w:r>
          </w:p>
        </w:tc>
      </w:tr>
      <w:tr w14:paraId="6F64A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26" w:type="pct"/>
            <w:vMerge w:val="continue"/>
            <w:noWrap w:val="0"/>
            <w:vAlign w:val="center"/>
          </w:tcPr>
          <w:p w14:paraId="47041C40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83" w:type="pct"/>
            <w:vMerge w:val="continue"/>
            <w:noWrap w:val="0"/>
            <w:vAlign w:val="center"/>
          </w:tcPr>
          <w:p w14:paraId="32B3F1F0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723" w:type="pct"/>
            <w:noWrap w:val="0"/>
            <w:vAlign w:val="center"/>
          </w:tcPr>
          <w:p w14:paraId="36498E3F"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审计工作制度完善，工作内容全面，经评委综合评定优的得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</w:rPr>
              <w:t>分；良的得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分；一般的得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分；差的得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分；没有的不得分。</w:t>
            </w:r>
          </w:p>
        </w:tc>
        <w:tc>
          <w:tcPr>
            <w:tcW w:w="366" w:type="pct"/>
            <w:noWrap w:val="0"/>
            <w:vAlign w:val="center"/>
          </w:tcPr>
          <w:p w14:paraId="600BC3BD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10</w:t>
            </w:r>
          </w:p>
        </w:tc>
      </w:tr>
      <w:tr w14:paraId="37307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326" w:type="pct"/>
            <w:vMerge w:val="continue"/>
            <w:noWrap w:val="0"/>
            <w:vAlign w:val="center"/>
          </w:tcPr>
          <w:p w14:paraId="68CA3844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83" w:type="pct"/>
            <w:vMerge w:val="continue"/>
            <w:noWrap w:val="0"/>
            <w:vAlign w:val="center"/>
          </w:tcPr>
          <w:p w14:paraId="5C06B326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723" w:type="pct"/>
            <w:noWrap w:val="0"/>
            <w:vAlign w:val="center"/>
          </w:tcPr>
          <w:p w14:paraId="0E8D5AA7"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审计工作流程科学，审计人员职责明确，经评委综合评定优的得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</w:rPr>
              <w:t>分；良的得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分；一般的得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分；差的得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分；没有的不得分。</w:t>
            </w:r>
          </w:p>
        </w:tc>
        <w:tc>
          <w:tcPr>
            <w:tcW w:w="366" w:type="pct"/>
            <w:noWrap w:val="0"/>
            <w:vAlign w:val="center"/>
          </w:tcPr>
          <w:p w14:paraId="4F22CCF1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10</w:t>
            </w:r>
          </w:p>
        </w:tc>
      </w:tr>
      <w:tr w14:paraId="3EDF2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326" w:type="pct"/>
            <w:vMerge w:val="continue"/>
            <w:noWrap w:val="0"/>
            <w:vAlign w:val="center"/>
          </w:tcPr>
          <w:p w14:paraId="2A00FA81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83" w:type="pct"/>
            <w:vMerge w:val="continue"/>
            <w:noWrap w:val="0"/>
            <w:vAlign w:val="center"/>
          </w:tcPr>
          <w:p w14:paraId="39509C14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723" w:type="pct"/>
            <w:noWrap w:val="0"/>
            <w:vAlign w:val="center"/>
          </w:tcPr>
          <w:p w14:paraId="4FB3F461"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审计方案中质量控制、时间保证、服务承诺合理有效，经评委综合评定优的得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</w:rPr>
              <w:t>分；良的得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分；一般的得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分；差的得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分；没有的不得分。</w:t>
            </w:r>
          </w:p>
        </w:tc>
        <w:tc>
          <w:tcPr>
            <w:tcW w:w="366" w:type="pct"/>
            <w:noWrap w:val="0"/>
            <w:vAlign w:val="center"/>
          </w:tcPr>
          <w:p w14:paraId="723BDF7E"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10</w:t>
            </w:r>
          </w:p>
        </w:tc>
      </w:tr>
      <w:tr w14:paraId="53E18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326" w:type="pct"/>
            <w:vMerge w:val="continue"/>
            <w:noWrap w:val="0"/>
            <w:vAlign w:val="center"/>
          </w:tcPr>
          <w:p w14:paraId="386A2EE0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83" w:type="pct"/>
            <w:vMerge w:val="continue"/>
            <w:noWrap w:val="0"/>
            <w:vAlign w:val="center"/>
          </w:tcPr>
          <w:p w14:paraId="2030680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723" w:type="pct"/>
            <w:noWrap w:val="0"/>
            <w:vAlign w:val="center"/>
          </w:tcPr>
          <w:p w14:paraId="3075FA99"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针对本项目特点的重点控制方法和措施阐述清晰、恰当，经评委综合评定优的得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</w:rPr>
              <w:t>分；良的得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szCs w:val="21"/>
              </w:rPr>
              <w:t>分；一般的得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szCs w:val="21"/>
              </w:rPr>
              <w:t>分；差的得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</w:rPr>
              <w:t>分；没有的不得分。</w:t>
            </w:r>
          </w:p>
        </w:tc>
        <w:tc>
          <w:tcPr>
            <w:tcW w:w="366" w:type="pct"/>
            <w:noWrap w:val="0"/>
            <w:vAlign w:val="center"/>
          </w:tcPr>
          <w:p w14:paraId="2C1AC3C1"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10</w:t>
            </w:r>
          </w:p>
        </w:tc>
      </w:tr>
      <w:tr w14:paraId="6332E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326" w:type="pct"/>
            <w:noWrap w:val="0"/>
            <w:vAlign w:val="center"/>
          </w:tcPr>
          <w:p w14:paraId="213EF0F8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</w:t>
            </w:r>
          </w:p>
        </w:tc>
        <w:tc>
          <w:tcPr>
            <w:tcW w:w="583" w:type="pct"/>
            <w:noWrap w:val="0"/>
            <w:vAlign w:val="center"/>
          </w:tcPr>
          <w:p w14:paraId="4BCD5C4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企业业绩（12分）</w:t>
            </w:r>
          </w:p>
        </w:tc>
        <w:tc>
          <w:tcPr>
            <w:tcW w:w="3723" w:type="pct"/>
            <w:noWrap w:val="0"/>
            <w:vAlign w:val="center"/>
          </w:tcPr>
          <w:p w14:paraId="714015A7">
            <w:pPr>
              <w:spacing w:line="240" w:lineRule="exact"/>
              <w:rPr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</w:rPr>
              <w:t>企业</w:t>
            </w:r>
            <w:r>
              <w:rPr>
                <w:rFonts w:hint="eastAsia" w:ascii="宋体" w:hAnsi="宋体"/>
                <w:szCs w:val="21"/>
                <w:lang w:val="zh-CN"/>
              </w:rPr>
              <w:t>自20</w:t>
            </w: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zh-CN"/>
              </w:rPr>
              <w:t>年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  <w:lang w:val="zh-CN"/>
              </w:rPr>
              <w:t>月1日（</w:t>
            </w:r>
            <w:r>
              <w:rPr>
                <w:rFonts w:hint="eastAsia" w:ascii="宋体" w:hAnsi="宋体"/>
                <w:szCs w:val="21"/>
              </w:rPr>
              <w:t>以签定合同日期为准</w:t>
            </w:r>
            <w:r>
              <w:rPr>
                <w:rFonts w:hint="eastAsia" w:ascii="宋体" w:hAnsi="宋体"/>
                <w:szCs w:val="21"/>
                <w:lang w:val="zh-CN"/>
              </w:rPr>
              <w:t>）以来承接过</w:t>
            </w:r>
            <w:r>
              <w:rPr>
                <w:rFonts w:hint="eastAsia" w:ascii="宋体" w:hAnsi="宋体"/>
                <w:szCs w:val="21"/>
                <w:lang w:eastAsia="zh-CN"/>
              </w:rPr>
              <w:t>建筑面积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30000平方米及以上的公共建筑造价咨询服务（含工程跟踪审计及结算审计）</w:t>
            </w:r>
            <w:r>
              <w:rPr>
                <w:rFonts w:hint="eastAsia" w:ascii="宋体" w:hAnsi="宋体"/>
                <w:szCs w:val="21"/>
                <w:lang w:val="zh-CN"/>
              </w:rPr>
              <w:t>业绩的，每提供一个得</w:t>
            </w:r>
            <w:r>
              <w:rPr>
                <w:rFonts w:hint="eastAsia"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  <w:lang w:val="zh-CN"/>
              </w:rPr>
              <w:t>分，最高</w:t>
            </w:r>
            <w:r>
              <w:rPr>
                <w:rFonts w:hint="eastAsia"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  <w:lang w:val="zh-CN"/>
              </w:rPr>
              <w:t>分。（提供合同复印件加盖申请人公章，时间以签订合同时间为准，</w:t>
            </w:r>
            <w:r>
              <w:rPr>
                <w:rFonts w:hint="eastAsia" w:ascii="宋体" w:hAnsi="宋体"/>
                <w:szCs w:val="21"/>
                <w:lang w:eastAsia="zh-CN"/>
              </w:rPr>
              <w:t>建筑面积</w:t>
            </w:r>
            <w:r>
              <w:rPr>
                <w:rFonts w:hint="eastAsia" w:ascii="宋体" w:hAnsi="宋体"/>
                <w:szCs w:val="21"/>
              </w:rPr>
              <w:t>以合同为准，</w:t>
            </w:r>
            <w:r>
              <w:rPr>
                <w:rFonts w:hint="eastAsia" w:ascii="宋体" w:hAnsi="宋体"/>
                <w:szCs w:val="21"/>
                <w:lang w:val="zh-CN"/>
              </w:rPr>
              <w:t>不提供以及不能清晰辨认视为无，不得分。）</w:t>
            </w:r>
          </w:p>
        </w:tc>
        <w:tc>
          <w:tcPr>
            <w:tcW w:w="366" w:type="pct"/>
            <w:noWrap w:val="0"/>
            <w:vAlign w:val="center"/>
          </w:tcPr>
          <w:p w14:paraId="6676BB9D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12</w:t>
            </w:r>
          </w:p>
        </w:tc>
      </w:tr>
      <w:tr w14:paraId="23526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26" w:type="pct"/>
            <w:noWrap w:val="0"/>
            <w:vAlign w:val="center"/>
          </w:tcPr>
          <w:p w14:paraId="3579A039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</w:t>
            </w:r>
          </w:p>
        </w:tc>
        <w:tc>
          <w:tcPr>
            <w:tcW w:w="583" w:type="pct"/>
            <w:noWrap w:val="0"/>
            <w:vAlign w:val="center"/>
          </w:tcPr>
          <w:p w14:paraId="70E317FB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项目负责人（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Cs w:val="21"/>
              </w:rPr>
              <w:t>分）</w:t>
            </w:r>
          </w:p>
        </w:tc>
        <w:tc>
          <w:tcPr>
            <w:tcW w:w="3723" w:type="pct"/>
            <w:noWrap w:val="0"/>
            <w:vAlign w:val="center"/>
          </w:tcPr>
          <w:p w14:paraId="36E1ECEA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项目负责人具有国家注册造价师（一级造价工程师）执业资格，造价师执业资格年限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年及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年以上的得3分，</w:t>
            </w:r>
            <w:r>
              <w:rPr>
                <w:rFonts w:hint="eastAsia"/>
                <w:szCs w:val="21"/>
                <w:lang w:val="en-US" w:eastAsia="zh-CN"/>
              </w:rPr>
              <w:t>5年以下不得分</w:t>
            </w:r>
            <w:r>
              <w:rPr>
                <w:rFonts w:hint="eastAsia"/>
                <w:szCs w:val="21"/>
              </w:rPr>
              <w:t>；同时具有高级工程师及以上职称的加1分；同时具备其他工程类国家级执业注册证书的加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rFonts w:hint="eastAsia"/>
                <w:szCs w:val="21"/>
              </w:rPr>
              <w:t>分。本项满分6分</w:t>
            </w:r>
            <w:r>
              <w:rPr>
                <w:rFonts w:hint="eastAsia" w:ascii="宋体" w:hAnsi="宋体"/>
                <w:szCs w:val="21"/>
              </w:rPr>
              <w:t>。（造价师执业资格年限以初始注册日期为准，提供证书复印件并加盖公章，其他工程类国家级执业资格包括注册一级建筑师、注册一级结构师及其它勘察设计类注册证书、注册一级建造师、国家注册监理工程师，以本单位注册证书为准。）</w:t>
            </w:r>
          </w:p>
        </w:tc>
        <w:tc>
          <w:tcPr>
            <w:tcW w:w="366" w:type="pct"/>
            <w:noWrap w:val="0"/>
            <w:vAlign w:val="center"/>
          </w:tcPr>
          <w:p w14:paraId="41D6C9FB"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6</w:t>
            </w:r>
          </w:p>
        </w:tc>
      </w:tr>
      <w:tr w14:paraId="5BBEA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326" w:type="pct"/>
            <w:noWrap w:val="0"/>
            <w:vAlign w:val="center"/>
          </w:tcPr>
          <w:p w14:paraId="219644B4">
            <w:pPr>
              <w:spacing w:line="24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5</w:t>
            </w:r>
          </w:p>
        </w:tc>
        <w:tc>
          <w:tcPr>
            <w:tcW w:w="583" w:type="pct"/>
            <w:noWrap w:val="0"/>
            <w:vAlign w:val="center"/>
          </w:tcPr>
          <w:p w14:paraId="3D86E110">
            <w:pPr>
              <w:spacing w:line="24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项目组成员资质（不含项目负责人）（12分）</w:t>
            </w:r>
          </w:p>
        </w:tc>
        <w:tc>
          <w:tcPr>
            <w:tcW w:w="3723" w:type="pct"/>
            <w:noWrap w:val="0"/>
            <w:vAlign w:val="center"/>
          </w:tcPr>
          <w:p w14:paraId="3C7E499D">
            <w:pPr>
              <w:spacing w:line="240" w:lineRule="exact"/>
              <w:rPr>
                <w:rFonts w:hint="eastAsia" w:ascii="宋体" w:hAnsi="宋体"/>
                <w:color w:val="000000"/>
                <w:szCs w:val="21"/>
                <w:lang w:val="zh-CN"/>
              </w:rPr>
            </w:pPr>
            <w:r>
              <w:rPr>
                <w:rFonts w:hint="eastAsia"/>
                <w:color w:val="000000"/>
                <w:szCs w:val="21"/>
              </w:rPr>
              <w:t>拟派项目组成员（不含项目负责人）具有国家注册一级造价工程师（旧版为注册造价工程师）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人（含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人）及以上且专业齐全，其中须配备土木工程类不少于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/>
                <w:color w:val="000000"/>
                <w:szCs w:val="21"/>
              </w:rPr>
              <w:t>人、给排水专业不少于1人</w:t>
            </w:r>
            <w:r>
              <w:rPr>
                <w:rFonts w:hint="eastAsia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/>
                <w:color w:val="000000"/>
                <w:szCs w:val="21"/>
              </w:rPr>
              <w:t>电气专业不少于1人，得基本分6分（若少一人扣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分）。项目组成员中具有高级工程师及以上职称的得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Cs w:val="21"/>
              </w:rPr>
              <w:t>分/人，最多得6分。本项最高得12分。（项目组成员专业以毕业证书为准）</w:t>
            </w:r>
          </w:p>
        </w:tc>
        <w:tc>
          <w:tcPr>
            <w:tcW w:w="366" w:type="pct"/>
            <w:noWrap w:val="0"/>
            <w:vAlign w:val="center"/>
          </w:tcPr>
          <w:p w14:paraId="24F8BAB1">
            <w:pPr>
              <w:spacing w:line="240" w:lineRule="exact"/>
              <w:jc w:val="center"/>
              <w:rPr>
                <w:rFonts w:hint="eastAsia"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12</w:t>
            </w:r>
          </w:p>
        </w:tc>
      </w:tr>
      <w:tr w14:paraId="71769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26" w:type="pct"/>
            <w:vMerge w:val="restart"/>
            <w:noWrap w:val="0"/>
            <w:vAlign w:val="center"/>
          </w:tcPr>
          <w:p w14:paraId="43E9A894"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</w:t>
            </w:r>
          </w:p>
        </w:tc>
        <w:tc>
          <w:tcPr>
            <w:tcW w:w="583" w:type="pct"/>
            <w:vMerge w:val="restart"/>
            <w:noWrap w:val="0"/>
            <w:vAlign w:val="center"/>
          </w:tcPr>
          <w:p w14:paraId="5F4005EC">
            <w:pPr>
              <w:spacing w:line="240" w:lineRule="exact"/>
              <w:jc w:val="center"/>
              <w:rPr>
                <w:rFonts w:hint="eastAsia"/>
                <w:color w:val="0D0D0D"/>
                <w:szCs w:val="21"/>
              </w:rPr>
            </w:pPr>
            <w:r>
              <w:rPr>
                <w:rFonts w:hint="eastAsia"/>
                <w:szCs w:val="21"/>
              </w:rPr>
              <w:t>企业实力与企业信誉（10分）</w:t>
            </w:r>
          </w:p>
        </w:tc>
        <w:tc>
          <w:tcPr>
            <w:tcW w:w="3723" w:type="pct"/>
            <w:noWrap w:val="0"/>
            <w:vAlign w:val="center"/>
          </w:tcPr>
          <w:p w14:paraId="1E61A426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企业具有有效期内的质量管理体系认证证书、环境管理体系认证证书、职业健康安全管理体系认证证书三项者得3分，认证范围均需包含工程造价咨询，每少一项扣1分。本项满分3分。</w:t>
            </w:r>
          </w:p>
        </w:tc>
        <w:tc>
          <w:tcPr>
            <w:tcW w:w="366" w:type="pct"/>
            <w:noWrap w:val="0"/>
            <w:vAlign w:val="center"/>
          </w:tcPr>
          <w:p w14:paraId="5265318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</w:tr>
      <w:tr w14:paraId="14B1C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326" w:type="pct"/>
            <w:vMerge w:val="continue"/>
            <w:noWrap w:val="0"/>
            <w:vAlign w:val="center"/>
          </w:tcPr>
          <w:p w14:paraId="0B8764E0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83" w:type="pct"/>
            <w:vMerge w:val="continue"/>
            <w:noWrap w:val="0"/>
            <w:vAlign w:val="center"/>
          </w:tcPr>
          <w:p w14:paraId="6C1ABFD9">
            <w:pPr>
              <w:spacing w:line="240" w:lineRule="exact"/>
              <w:jc w:val="center"/>
              <w:rPr>
                <w:rFonts w:hint="eastAsia"/>
                <w:color w:val="0D0D0D"/>
                <w:szCs w:val="21"/>
              </w:rPr>
            </w:pPr>
          </w:p>
        </w:tc>
        <w:tc>
          <w:tcPr>
            <w:tcW w:w="3723" w:type="pct"/>
            <w:noWrap w:val="0"/>
            <w:vAlign w:val="center"/>
          </w:tcPr>
          <w:p w14:paraId="1478FCBD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企业具备有效期内省级及以上工程造价咨询企业信用AAAAA等级的得2分，AAAA等级及其以下的得1分，没有提供不得分。本项满分2分。</w:t>
            </w:r>
          </w:p>
        </w:tc>
        <w:tc>
          <w:tcPr>
            <w:tcW w:w="366" w:type="pct"/>
            <w:noWrap w:val="0"/>
            <w:vAlign w:val="center"/>
          </w:tcPr>
          <w:p w14:paraId="0223AF4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</w:tr>
      <w:tr w14:paraId="65BCD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326" w:type="pct"/>
            <w:vMerge w:val="continue"/>
            <w:noWrap w:val="0"/>
            <w:vAlign w:val="center"/>
          </w:tcPr>
          <w:p w14:paraId="5741F1EA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83" w:type="pct"/>
            <w:vMerge w:val="continue"/>
            <w:noWrap w:val="0"/>
            <w:vAlign w:val="center"/>
          </w:tcPr>
          <w:p w14:paraId="324494F7">
            <w:pPr>
              <w:spacing w:line="240" w:lineRule="exact"/>
              <w:jc w:val="center"/>
              <w:rPr>
                <w:rFonts w:hint="eastAsia"/>
                <w:color w:val="0D0D0D"/>
                <w:szCs w:val="21"/>
              </w:rPr>
            </w:pPr>
          </w:p>
        </w:tc>
        <w:tc>
          <w:tcPr>
            <w:tcW w:w="3723" w:type="pct"/>
            <w:noWrap w:val="0"/>
            <w:vAlign w:val="center"/>
          </w:tcPr>
          <w:p w14:paraId="69911FF6"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企业具有国家注册一级造价工程师人数达40人及以上、50人以下的得3分；50人及以上、60人以下的得4分；60人及以上得5分。（少于40人不得分，提供全国建筑市场监管公共服务平台(四库一平台)查询截图加盖公章）本项满分5分。</w:t>
            </w:r>
          </w:p>
        </w:tc>
        <w:tc>
          <w:tcPr>
            <w:tcW w:w="366" w:type="pct"/>
            <w:noWrap w:val="0"/>
            <w:vAlign w:val="center"/>
          </w:tcPr>
          <w:p w14:paraId="474CFDA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</w:tr>
      <w:tr w14:paraId="6A8AF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33" w:type="pct"/>
            <w:gridSpan w:val="3"/>
            <w:noWrap w:val="0"/>
            <w:vAlign w:val="center"/>
          </w:tcPr>
          <w:p w14:paraId="363F9B9D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总分</w:t>
            </w:r>
          </w:p>
        </w:tc>
        <w:tc>
          <w:tcPr>
            <w:tcW w:w="366" w:type="pct"/>
            <w:noWrap w:val="0"/>
            <w:vAlign w:val="center"/>
          </w:tcPr>
          <w:p w14:paraId="2B4A01B1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100</w:t>
            </w:r>
          </w:p>
        </w:tc>
      </w:tr>
    </w:tbl>
    <w:p w14:paraId="68A1AC5F"/>
    <w:sectPr>
      <w:pgSz w:w="11906" w:h="16838"/>
      <w:pgMar w:top="1157" w:right="203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D5960"/>
    <w:rsid w:val="25AD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2025-02-08T07:17:00Z</dcterms:created>
  <dc:creator>Administrator</dc:creator>
  <cp:lastModifiedBy>Administrator</cp:lastModifiedBy>
  <dcterms:modified xsi:type="dcterms:W3CDTF">2025-02-08T07:18:27Z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4E1AE8F0A9D04FAB8A74467D2FE4B8A4_11</vt:lpwstr>
  </property>
  <property fmtid="{D5CDD505-2E9C-101B-9397-08002B2CF9AE}" pid="4" name="KSOTemplateDocerSaveRecord">
    <vt:lpwstr>eyJoZGlkIjoiZTA3ZDgwNTQ2NTA2MGM0MzMyMDhmNmI1OTRhYzQ5ZGYifQ==</vt:lpwstr>
  </property>
</Properties>
</file>